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"/>
        <w:rPr>
          <w:rFonts w:ascii="Times New Roman"/>
          <w:sz w:val="23"/>
        </w:rPr>
      </w:pPr>
    </w:p>
    <w:p>
      <w:pPr>
        <w:pStyle w:val="Heading1"/>
        <w:spacing w:before="46"/>
        <w:ind w:right="118"/>
        <w:jc w:val="right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9.279999pt;margin-top:-13.181264pt;width:354.15pt;height:54.15pt;mso-position-horizontal-relative:page;mso-position-vertical-relative:paragraph;z-index:15729152" type="#_x0000_t202" id="docshape1" filled="true" fillcolor="#cccccc" stroked="false">
            <v:textbox inset="0,0,0,0">
              <w:txbxContent>
                <w:p>
                  <w:pPr>
                    <w:pStyle w:val="BodyText"/>
                    <w:spacing w:before="10"/>
                    <w:rPr>
                      <w:color w:val="000000"/>
                      <w:sz w:val="31"/>
                    </w:rPr>
                  </w:pPr>
                </w:p>
                <w:p>
                  <w:pPr>
                    <w:spacing w:before="0"/>
                    <w:ind w:left="297" w:right="0" w:firstLine="0"/>
                    <w:jc w:val="left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z w:val="28"/>
                    </w:rPr>
                    <w:t>BUYERS</w:t>
                  </w:r>
                  <w:r>
                    <w:rPr>
                      <w:b/>
                      <w:color w:val="000000"/>
                      <w:spacing w:val="-18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LEASEHOLD</w:t>
                  </w:r>
                  <w:r>
                    <w:rPr>
                      <w:b/>
                      <w:color w:val="000000"/>
                      <w:spacing w:val="-17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INFORMATION</w:t>
                  </w:r>
                  <w:r>
                    <w:rPr>
                      <w:b/>
                      <w:color w:val="000000"/>
                      <w:spacing w:val="-17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SUMMARY</w:t>
                  </w:r>
                </w:p>
              </w:txbxContent>
            </v:textbox>
            <v:fill type="solid"/>
            <w10:wrap type="none"/>
          </v:shape>
        </w:pict>
      </w:r>
      <w:r>
        <w:rPr/>
        <w:t>LPE2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" w:after="1"/>
        <w:rPr>
          <w:b/>
          <w:sz w:val="17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0"/>
        <w:gridCol w:w="8162"/>
      </w:tblGrid>
      <w:tr>
        <w:trPr>
          <w:trHeight w:val="501" w:hRule="atLeast"/>
        </w:trPr>
        <w:tc>
          <w:tcPr>
            <w:tcW w:w="1190" w:type="dxa"/>
            <w:tcBorders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7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Property:</w:t>
            </w:r>
          </w:p>
        </w:tc>
        <w:tc>
          <w:tcPr>
            <w:tcW w:w="8162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8" w:hRule="atLeast"/>
        </w:trPr>
        <w:tc>
          <w:tcPr>
            <w:tcW w:w="1190" w:type="dxa"/>
            <w:tcBorders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7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Seller:</w:t>
            </w:r>
          </w:p>
        </w:tc>
        <w:tc>
          <w:tcPr>
            <w:tcW w:w="8162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11" w:hRule="atLeast"/>
        </w:trPr>
        <w:tc>
          <w:tcPr>
            <w:tcW w:w="1190" w:type="dxa"/>
            <w:tcBorders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234" w:lineRule="exact" w:before="72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UPRN:</w:t>
            </w:r>
          </w:p>
          <w:p>
            <w:pPr>
              <w:pStyle w:val="TableParagraph"/>
              <w:spacing w:line="226" w:lineRule="exact"/>
              <w:ind w:left="112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known)</w:t>
            </w:r>
          </w:p>
        </w:tc>
        <w:tc>
          <w:tcPr>
            <w:tcW w:w="8162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7"/>
        <w:rPr>
          <w:b/>
          <w:sz w:val="9"/>
        </w:rPr>
      </w:pPr>
    </w:p>
    <w:p>
      <w:pPr>
        <w:pStyle w:val="BodyText"/>
        <w:spacing w:line="235" w:lineRule="auto" w:before="70"/>
        <w:ind w:left="110" w:right="116"/>
        <w:jc w:val="both"/>
      </w:pPr>
      <w:r>
        <w:rPr/>
        <w:t>The attached Leasehold Property Enquiry Form</w:t>
      </w:r>
      <w:r>
        <w:rPr>
          <w:spacing w:val="1"/>
        </w:rPr>
        <w:t> </w:t>
      </w:r>
      <w:r>
        <w:rPr/>
        <w:t>contains</w:t>
      </w:r>
      <w:r>
        <w:rPr>
          <w:spacing w:val="1"/>
        </w:rPr>
        <w:t> </w:t>
      </w:r>
      <w:r>
        <w:rPr/>
        <w:t>important information about the leasehold</w:t>
      </w:r>
      <w:r>
        <w:rPr>
          <w:spacing w:val="1"/>
        </w:rPr>
        <w:t> </w:t>
      </w:r>
      <w:r>
        <w:rPr/>
        <w:t>responsibilities.</w:t>
      </w:r>
    </w:p>
    <w:p>
      <w:pPr>
        <w:pStyle w:val="BodyText"/>
        <w:spacing w:line="235" w:lineRule="auto" w:before="144"/>
        <w:ind w:left="110" w:right="118"/>
        <w:jc w:val="both"/>
      </w:pPr>
      <w:r>
        <w:rPr/>
        <w:t>This summary is not a legal document but is designed to highlight to you the key financial responsibilities</w:t>
      </w:r>
      <w:r>
        <w:rPr>
          <w:spacing w:val="1"/>
        </w:rPr>
        <w:t> </w:t>
      </w:r>
      <w:r>
        <w:rPr/>
        <w:t>which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take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set</w:t>
      </w:r>
      <w:r>
        <w:rPr>
          <w:spacing w:val="-2"/>
        </w:rPr>
        <w:t> </w:t>
      </w:r>
      <w:r>
        <w:rPr/>
        <w:t>out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full</w:t>
      </w:r>
      <w:r>
        <w:rPr>
          <w:spacing w:val="-3"/>
        </w:rPr>
        <w:t> </w:t>
      </w:r>
      <w:r>
        <w:rPr/>
        <w:t>Leasehold</w:t>
      </w:r>
      <w:r>
        <w:rPr>
          <w:spacing w:val="-2"/>
        </w:rPr>
        <w:t> </w:t>
      </w:r>
      <w:r>
        <w:rPr/>
        <w:t>Property</w:t>
      </w:r>
      <w:r>
        <w:rPr>
          <w:spacing w:val="-8"/>
        </w:rPr>
        <w:t> </w:t>
      </w:r>
      <w:r>
        <w:rPr/>
        <w:t>Enquiry</w:t>
      </w:r>
      <w:r>
        <w:rPr>
          <w:spacing w:val="-8"/>
        </w:rPr>
        <w:t> </w:t>
      </w:r>
      <w:r>
        <w:rPr/>
        <w:t>Form.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411" w:val="left" w:leader="none"/>
          <w:tab w:pos="6515" w:val="left" w:leader="none"/>
        </w:tabs>
        <w:spacing w:line="384" w:lineRule="auto" w:before="1" w:after="0"/>
        <w:ind w:left="110" w:right="2944" w:firstLine="0"/>
        <w:jc w:val="left"/>
        <w:rPr>
          <w:sz w:val="22"/>
        </w:rPr>
      </w:pPr>
      <w:r>
        <w:rPr>
          <w:b/>
          <w:sz w:val="24"/>
        </w:rPr>
        <w:t>Costs associated with your purchase of the Property</w:t>
      </w:r>
      <w:r>
        <w:rPr>
          <w:b/>
          <w:spacing w:val="1"/>
          <w:sz w:val="24"/>
        </w:rPr>
        <w:t> </w:t>
      </w:r>
      <w:r>
        <w:rPr>
          <w:sz w:val="20"/>
        </w:rPr>
        <w:t>Notice</w:t>
      </w:r>
      <w:r>
        <w:rPr>
          <w:spacing w:val="-6"/>
          <w:sz w:val="20"/>
        </w:rPr>
        <w:t> </w:t>
      </w:r>
      <w:r>
        <w:rPr>
          <w:sz w:val="20"/>
        </w:rPr>
        <w:t>Fees</w:t>
      </w:r>
      <w:r>
        <w:rPr>
          <w:spacing w:val="-4"/>
          <w:sz w:val="20"/>
        </w:rPr>
        <w:t> </w:t>
      </w:r>
      <w:r>
        <w:rPr>
          <w:sz w:val="20"/>
        </w:rPr>
        <w:t>inclusive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VAT</w:t>
      </w:r>
      <w:r>
        <w:rPr>
          <w:spacing w:val="-3"/>
          <w:sz w:val="20"/>
        </w:rPr>
        <w:t> </w:t>
      </w:r>
      <w:r>
        <w:rPr>
          <w:sz w:val="20"/>
        </w:rPr>
        <w:t>(Section</w:t>
      </w:r>
      <w:r>
        <w:rPr>
          <w:spacing w:val="-5"/>
          <w:sz w:val="20"/>
        </w:rPr>
        <w:t> </w:t>
      </w:r>
      <w:r>
        <w:rPr>
          <w:sz w:val="20"/>
        </w:rPr>
        <w:t>1.5):</w:t>
        <w:tab/>
      </w:r>
      <w:r>
        <w:rPr>
          <w:sz w:val="22"/>
        </w:rPr>
        <w:t>£</w:t>
      </w:r>
      <w:r>
        <w:rPr>
          <w:spacing w:val="-58"/>
          <w:sz w:val="22"/>
        </w:rPr>
        <w:t> </w:t>
      </w:r>
      <w:r>
        <w:rPr>
          <w:sz w:val="20"/>
        </w:rPr>
        <w:t>Fee</w:t>
      </w:r>
      <w:r>
        <w:rPr>
          <w:spacing w:val="-6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Deed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Covenant</w:t>
      </w:r>
      <w:r>
        <w:rPr>
          <w:spacing w:val="-5"/>
          <w:sz w:val="20"/>
        </w:rPr>
        <w:t> </w:t>
      </w:r>
      <w:r>
        <w:rPr>
          <w:sz w:val="20"/>
        </w:rPr>
        <w:t>inclusive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VAT</w:t>
      </w:r>
      <w:r>
        <w:rPr>
          <w:spacing w:val="-3"/>
          <w:sz w:val="20"/>
        </w:rPr>
        <w:t> </w:t>
      </w:r>
      <w:r>
        <w:rPr>
          <w:sz w:val="20"/>
        </w:rPr>
        <w:t>(Section</w:t>
      </w:r>
      <w:r>
        <w:rPr>
          <w:spacing w:val="-5"/>
          <w:sz w:val="20"/>
        </w:rPr>
        <w:t> </w:t>
      </w:r>
      <w:r>
        <w:rPr>
          <w:sz w:val="20"/>
        </w:rPr>
        <w:t>2.1.1):</w:t>
        <w:tab/>
      </w:r>
      <w:r>
        <w:rPr>
          <w:sz w:val="22"/>
        </w:rPr>
        <w:t>£</w:t>
      </w:r>
      <w:r>
        <w:rPr>
          <w:spacing w:val="-58"/>
          <w:sz w:val="22"/>
        </w:rPr>
        <w:t> </w:t>
      </w:r>
      <w:r>
        <w:rPr>
          <w:sz w:val="20"/>
        </w:rPr>
        <w:t>Certificate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Compliance</w:t>
      </w:r>
      <w:r>
        <w:rPr>
          <w:spacing w:val="-6"/>
          <w:sz w:val="20"/>
        </w:rPr>
        <w:t> </w:t>
      </w:r>
      <w:r>
        <w:rPr>
          <w:sz w:val="20"/>
        </w:rPr>
        <w:t>(8.11)</w:t>
        <w:tab/>
      </w:r>
      <w:r>
        <w:rPr>
          <w:spacing w:val="-1"/>
          <w:sz w:val="22"/>
        </w:rPr>
        <w:t>£</w:t>
      </w:r>
    </w:p>
    <w:p>
      <w:pPr>
        <w:pStyle w:val="BodyText"/>
        <w:tabs>
          <w:tab w:pos="6515" w:val="left" w:leader="none"/>
        </w:tabs>
        <w:spacing w:line="249" w:lineRule="exact"/>
        <w:ind w:left="110"/>
        <w:rPr>
          <w:sz w:val="22"/>
        </w:rPr>
      </w:pPr>
      <w:r>
        <w:rPr/>
        <w:t>Other</w:t>
        <w:tab/>
      </w:r>
      <w:r>
        <w:rPr>
          <w:sz w:val="22"/>
        </w:rPr>
        <w:t>£</w:t>
      </w:r>
    </w:p>
    <w:p>
      <w:pPr>
        <w:pStyle w:val="BodyText"/>
        <w:spacing w:before="4"/>
        <w:rPr>
          <w:sz w:val="25"/>
        </w:rPr>
      </w:pPr>
    </w:p>
    <w:p>
      <w:pPr>
        <w:pStyle w:val="Heading2"/>
        <w:numPr>
          <w:ilvl w:val="0"/>
          <w:numId w:val="1"/>
        </w:numPr>
        <w:tabs>
          <w:tab w:pos="418" w:val="left" w:leader="none"/>
        </w:tabs>
        <w:spacing w:line="240" w:lineRule="auto" w:before="0" w:after="0"/>
        <w:ind w:left="417" w:right="0" w:hanging="308"/>
        <w:jc w:val="left"/>
      </w:pPr>
      <w:r>
        <w:rPr/>
        <w:t>Regular</w:t>
      </w:r>
      <w:r>
        <w:rPr>
          <w:spacing w:val="-8"/>
        </w:rPr>
        <w:t> </w:t>
      </w:r>
      <w:r>
        <w:rPr/>
        <w:t>payments</w:t>
      </w:r>
      <w:r>
        <w:rPr>
          <w:spacing w:val="-6"/>
        </w:rPr>
        <w:t> </w:t>
      </w:r>
      <w:r>
        <w:rPr/>
        <w:t>during</w:t>
      </w:r>
      <w:r>
        <w:rPr>
          <w:spacing w:val="-7"/>
        </w:rPr>
        <w:t> </w:t>
      </w:r>
      <w:r>
        <w:rPr/>
        <w:t>your</w:t>
      </w:r>
      <w:r>
        <w:rPr>
          <w:spacing w:val="-7"/>
        </w:rPr>
        <w:t> </w:t>
      </w:r>
      <w:r>
        <w:rPr/>
        <w:t>ownership</w:t>
      </w:r>
    </w:p>
    <w:p>
      <w:pPr>
        <w:pStyle w:val="BodyText"/>
        <w:spacing w:before="10"/>
        <w:rPr>
          <w:b/>
          <w:sz w:val="13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26"/>
        <w:gridCol w:w="2268"/>
        <w:gridCol w:w="2258"/>
      </w:tblGrid>
      <w:tr>
        <w:trPr>
          <w:trHeight w:val="501" w:hRule="atLeast"/>
        </w:trPr>
        <w:tc>
          <w:tcPr>
            <w:tcW w:w="4826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21"/>
              <w:ind w:left="76"/>
              <w:rPr>
                <w:sz w:val="20"/>
              </w:rPr>
            </w:pPr>
            <w:r>
              <w:rPr>
                <w:sz w:val="20"/>
              </w:rPr>
              <w:t>Amount</w:t>
            </w:r>
          </w:p>
        </w:tc>
        <w:tc>
          <w:tcPr>
            <w:tcW w:w="2258" w:type="dxa"/>
          </w:tcPr>
          <w:p>
            <w:pPr>
              <w:pStyle w:val="TableParagraph"/>
              <w:spacing w:line="228" w:lineRule="exact" w:before="21"/>
              <w:ind w:left="76"/>
              <w:rPr>
                <w:sz w:val="20"/>
              </w:rPr>
            </w:pPr>
            <w:r>
              <w:rPr>
                <w:sz w:val="20"/>
              </w:rPr>
              <w:t>Period</w:t>
            </w:r>
          </w:p>
          <w:p>
            <w:pPr>
              <w:pStyle w:val="TableParagraph"/>
              <w:spacing w:line="228" w:lineRule="exact"/>
              <w:ind w:left="76"/>
              <w:rPr>
                <w:sz w:val="20"/>
              </w:rPr>
            </w:pPr>
            <w:r>
              <w:rPr>
                <w:sz w:val="20"/>
              </w:rPr>
              <w:t>eg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months/Year</w:t>
            </w:r>
          </w:p>
        </w:tc>
      </w:tr>
      <w:tr>
        <w:trPr>
          <w:trHeight w:val="443" w:hRule="atLeast"/>
        </w:trPr>
        <w:tc>
          <w:tcPr>
            <w:tcW w:w="4826" w:type="dxa"/>
          </w:tcPr>
          <w:p>
            <w:pPr>
              <w:pStyle w:val="TableParagraph"/>
              <w:spacing w:before="105"/>
              <w:ind w:left="112"/>
              <w:rPr>
                <w:sz w:val="20"/>
              </w:rPr>
            </w:pPr>
            <w:r>
              <w:rPr>
                <w:sz w:val="20"/>
              </w:rPr>
              <w:t>Ground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(Section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3.1):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3" w:hRule="atLeast"/>
        </w:trPr>
        <w:tc>
          <w:tcPr>
            <w:tcW w:w="4826" w:type="dxa"/>
          </w:tcPr>
          <w:p>
            <w:pPr>
              <w:pStyle w:val="TableParagraph"/>
              <w:spacing w:before="105"/>
              <w:ind w:left="112"/>
              <w:rPr>
                <w:sz w:val="20"/>
              </w:rPr>
            </w:pPr>
            <w:r>
              <w:rPr>
                <w:sz w:val="20"/>
              </w:rPr>
              <w:t>Service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Charges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(Section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4.1.1):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1" w:hRule="atLeast"/>
        </w:trPr>
        <w:tc>
          <w:tcPr>
            <w:tcW w:w="4826" w:type="dxa"/>
          </w:tcPr>
          <w:p>
            <w:pPr>
              <w:pStyle w:val="TableParagraph"/>
              <w:spacing w:before="105"/>
              <w:ind w:left="112"/>
              <w:rPr>
                <w:sz w:val="20"/>
              </w:rPr>
            </w:pPr>
            <w:r>
              <w:rPr>
                <w:sz w:val="20"/>
              </w:rPr>
              <w:t>Buildings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Insurance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Premium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(Section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5.10.1):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49"/>
        <w:ind w:left="110"/>
      </w:pPr>
      <w:r>
        <w:rPr/>
        <w:t>NB</w:t>
      </w:r>
      <w:r>
        <w:rPr>
          <w:spacing w:val="3"/>
        </w:rPr>
        <w:t> </w:t>
      </w:r>
      <w:r>
        <w:rPr/>
        <w:t>if</w:t>
      </w:r>
      <w:r>
        <w:rPr>
          <w:spacing w:val="5"/>
        </w:rPr>
        <w:t> </w:t>
      </w:r>
      <w:r>
        <w:rPr/>
        <w:t>the</w:t>
      </w:r>
      <w:r>
        <w:rPr>
          <w:spacing w:val="3"/>
        </w:rPr>
        <w:t> </w:t>
      </w:r>
      <w:r>
        <w:rPr/>
        <w:t>property</w:t>
      </w:r>
      <w:r>
        <w:rPr>
          <w:spacing w:val="-1"/>
        </w:rPr>
        <w:t> </w:t>
      </w:r>
      <w:r>
        <w:rPr/>
        <w:t>is</w:t>
      </w:r>
      <w:r>
        <w:rPr>
          <w:spacing w:val="4"/>
        </w:rPr>
        <w:t> </w:t>
      </w:r>
      <w:r>
        <w:rPr/>
        <w:t>on</w:t>
      </w:r>
      <w:r>
        <w:rPr>
          <w:spacing w:val="4"/>
        </w:rPr>
        <w:t> </w:t>
      </w:r>
      <w:r>
        <w:rPr/>
        <w:t>a</w:t>
      </w:r>
      <w:r>
        <w:rPr>
          <w:spacing w:val="1"/>
        </w:rPr>
        <w:t> </w:t>
      </w:r>
      <w:r>
        <w:rPr/>
        <w:t>new</w:t>
      </w:r>
      <w:r>
        <w:rPr>
          <w:spacing w:val="3"/>
        </w:rPr>
        <w:t> </w:t>
      </w:r>
      <w:r>
        <w:rPr/>
        <w:t>estate</w:t>
      </w:r>
      <w:r>
        <w:rPr>
          <w:spacing w:val="4"/>
        </w:rPr>
        <w:t> </w:t>
      </w:r>
      <w:r>
        <w:rPr/>
        <w:t>you</w:t>
      </w:r>
      <w:r>
        <w:rPr>
          <w:spacing w:val="2"/>
        </w:rPr>
        <w:t> </w:t>
      </w:r>
      <w:r>
        <w:rPr/>
        <w:t>should</w:t>
      </w:r>
      <w:r>
        <w:rPr>
          <w:spacing w:val="3"/>
        </w:rPr>
        <w:t> </w:t>
      </w:r>
      <w:r>
        <w:rPr/>
        <w:t>be</w:t>
      </w:r>
      <w:r>
        <w:rPr>
          <w:spacing w:val="4"/>
        </w:rPr>
        <w:t> </w:t>
      </w:r>
      <w:r>
        <w:rPr/>
        <w:t>aware</w:t>
      </w:r>
      <w:r>
        <w:rPr>
          <w:spacing w:val="2"/>
        </w:rPr>
        <w:t> </w:t>
      </w:r>
      <w:r>
        <w:rPr/>
        <w:t>that</w:t>
      </w:r>
      <w:r>
        <w:rPr>
          <w:spacing w:val="4"/>
        </w:rPr>
        <w:t> </w:t>
      </w:r>
      <w:r>
        <w:rPr/>
        <w:t>costs</w:t>
      </w:r>
      <w:r>
        <w:rPr>
          <w:spacing w:val="4"/>
        </w:rPr>
        <w:t> </w:t>
      </w:r>
      <w:r>
        <w:rPr/>
        <w:t>may</w:t>
      </w:r>
      <w:r>
        <w:rPr>
          <w:spacing w:val="-1"/>
        </w:rPr>
        <w:t> </w:t>
      </w:r>
      <w:r>
        <w:rPr/>
        <w:t>increase</w:t>
      </w:r>
      <w:r>
        <w:rPr>
          <w:spacing w:val="4"/>
        </w:rPr>
        <w:t> </w:t>
      </w:r>
      <w:r>
        <w:rPr/>
        <w:t>substantially</w:t>
      </w:r>
      <w:r>
        <w:rPr>
          <w:spacing w:val="-4"/>
        </w:rPr>
        <w:t> </w:t>
      </w:r>
      <w:r>
        <w:rPr/>
        <w:t>once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/>
        <w:t>estate</w:t>
      </w:r>
      <w:r>
        <w:rPr>
          <w:spacing w:val="-4"/>
        </w:rPr>
        <w:t> </w:t>
      </w:r>
      <w:r>
        <w:rPr/>
        <w:t>is</w:t>
      </w:r>
      <w:r>
        <w:rPr>
          <w:spacing w:val="-2"/>
        </w:rPr>
        <w:t> </w:t>
      </w:r>
      <w:r>
        <w:rPr/>
        <w:t>finished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developer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longer</w:t>
      </w:r>
      <w:r>
        <w:rPr>
          <w:spacing w:val="-3"/>
        </w:rPr>
        <w:t> </w:t>
      </w:r>
      <w:r>
        <w:rPr/>
        <w:t>involved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maintaining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managed</w:t>
      </w:r>
      <w:r>
        <w:rPr>
          <w:spacing w:val="-3"/>
        </w:rPr>
        <w:t> </w:t>
      </w:r>
      <w:r>
        <w:rPr/>
        <w:t>areas.</w:t>
      </w:r>
    </w:p>
    <w:p>
      <w:pPr>
        <w:pStyle w:val="BodyText"/>
        <w:spacing w:before="136"/>
        <w:ind w:left="110"/>
      </w:pPr>
      <w:r>
        <w:rPr/>
        <w:t>On</w:t>
      </w:r>
      <w:r>
        <w:rPr>
          <w:spacing w:val="27"/>
        </w:rPr>
        <w:t> </w:t>
      </w:r>
      <w:r>
        <w:rPr/>
        <w:t>completion</w:t>
      </w:r>
      <w:r>
        <w:rPr>
          <w:spacing w:val="28"/>
        </w:rPr>
        <w:t> </w:t>
      </w:r>
      <w:r>
        <w:rPr/>
        <w:t>you</w:t>
      </w:r>
      <w:r>
        <w:rPr>
          <w:spacing w:val="28"/>
        </w:rPr>
        <w:t> </w:t>
      </w:r>
      <w:r>
        <w:rPr/>
        <w:t>will</w:t>
      </w:r>
      <w:r>
        <w:rPr>
          <w:spacing w:val="27"/>
        </w:rPr>
        <w:t> </w:t>
      </w:r>
      <w:r>
        <w:rPr/>
        <w:t>need</w:t>
      </w:r>
      <w:r>
        <w:rPr>
          <w:spacing w:val="27"/>
        </w:rPr>
        <w:t> </w:t>
      </w:r>
      <w:r>
        <w:rPr/>
        <w:t>to</w:t>
      </w:r>
      <w:r>
        <w:rPr>
          <w:spacing w:val="28"/>
        </w:rPr>
        <w:t> </w:t>
      </w:r>
      <w:r>
        <w:rPr/>
        <w:t>pay</w:t>
      </w:r>
      <w:r>
        <w:rPr>
          <w:spacing w:val="23"/>
        </w:rPr>
        <w:t> </w:t>
      </w:r>
      <w:r>
        <w:rPr/>
        <w:t>a</w:t>
      </w:r>
      <w:r>
        <w:rPr>
          <w:spacing w:val="28"/>
        </w:rPr>
        <w:t> </w:t>
      </w:r>
      <w:r>
        <w:rPr/>
        <w:t>portion</w:t>
      </w:r>
      <w:r>
        <w:rPr>
          <w:spacing w:val="27"/>
        </w:rPr>
        <w:t> </w:t>
      </w:r>
      <w:r>
        <w:rPr/>
        <w:t>of</w:t>
      </w:r>
      <w:r>
        <w:rPr>
          <w:spacing w:val="30"/>
        </w:rPr>
        <w:t> </w:t>
      </w:r>
      <w:r>
        <w:rPr/>
        <w:t>these</w:t>
      </w:r>
      <w:r>
        <w:rPr>
          <w:spacing w:val="28"/>
        </w:rPr>
        <w:t> </w:t>
      </w:r>
      <w:r>
        <w:rPr/>
        <w:t>regular</w:t>
      </w:r>
      <w:r>
        <w:rPr>
          <w:spacing w:val="28"/>
        </w:rPr>
        <w:t> </w:t>
      </w:r>
      <w:r>
        <w:rPr/>
        <w:t>payments</w:t>
      </w:r>
      <w:r>
        <w:rPr>
          <w:spacing w:val="29"/>
        </w:rPr>
        <w:t> </w:t>
      </w:r>
      <w:r>
        <w:rPr/>
        <w:t>to</w:t>
      </w:r>
      <w:r>
        <w:rPr>
          <w:spacing w:val="28"/>
        </w:rPr>
        <w:t> </w:t>
      </w:r>
      <w:r>
        <w:rPr/>
        <w:t>cover</w:t>
      </w:r>
      <w:r>
        <w:rPr>
          <w:spacing w:val="29"/>
        </w:rPr>
        <w:t> </w:t>
      </w:r>
      <w:r>
        <w:rPr/>
        <w:t>the</w:t>
      </w:r>
      <w:r>
        <w:rPr>
          <w:spacing w:val="27"/>
        </w:rPr>
        <w:t> </w:t>
      </w:r>
      <w:r>
        <w:rPr/>
        <w:t>period</w:t>
      </w:r>
      <w:r>
        <w:rPr>
          <w:spacing w:val="28"/>
        </w:rPr>
        <w:t> </w:t>
      </w:r>
      <w:r>
        <w:rPr/>
        <w:t>from</w:t>
      </w:r>
      <w:r>
        <w:rPr>
          <w:spacing w:val="33"/>
        </w:rPr>
        <w:t> </w:t>
      </w:r>
      <w:r>
        <w:rPr/>
        <w:t>the</w:t>
      </w:r>
      <w:r>
        <w:rPr>
          <w:spacing w:val="-53"/>
        </w:rPr>
        <w:t> </w:t>
      </w:r>
      <w:r>
        <w:rPr/>
        <w:t>completion</w:t>
      </w:r>
      <w:r>
        <w:rPr>
          <w:spacing w:val="-2"/>
        </w:rPr>
        <w:t> </w:t>
      </w:r>
      <w:r>
        <w:rPr/>
        <w:t>date</w:t>
      </w:r>
      <w:r>
        <w:rPr>
          <w:spacing w:val="-1"/>
        </w:rPr>
        <w:t> </w:t>
      </w:r>
      <w:r>
        <w:rPr/>
        <w:t>up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date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next</w:t>
      </w:r>
      <w:r>
        <w:rPr>
          <w:spacing w:val="-1"/>
        </w:rPr>
        <w:t> </w:t>
      </w:r>
      <w:r>
        <w:rPr/>
        <w:t>payment</w:t>
      </w:r>
      <w:r>
        <w:rPr>
          <w:spacing w:val="-2"/>
        </w:rPr>
        <w:t> </w:t>
      </w:r>
      <w:r>
        <w:rPr/>
        <w:t>is due.</w:t>
      </w:r>
    </w:p>
    <w:p>
      <w:pPr>
        <w:pStyle w:val="BodyText"/>
        <w:spacing w:before="4"/>
        <w:rPr>
          <w:sz w:val="25"/>
        </w:rPr>
      </w:pPr>
    </w:p>
    <w:p>
      <w:pPr>
        <w:pStyle w:val="Heading2"/>
        <w:numPr>
          <w:ilvl w:val="0"/>
          <w:numId w:val="1"/>
        </w:numPr>
        <w:tabs>
          <w:tab w:pos="418" w:val="left" w:leader="none"/>
        </w:tabs>
        <w:spacing w:line="240" w:lineRule="auto" w:before="0" w:after="0"/>
        <w:ind w:left="417" w:right="0" w:hanging="308"/>
        <w:jc w:val="left"/>
      </w:pPr>
      <w:r>
        <w:rPr/>
        <w:t>Additional</w:t>
      </w:r>
      <w:r>
        <w:rPr>
          <w:spacing w:val="-7"/>
        </w:rPr>
        <w:t> </w:t>
      </w:r>
      <w:r>
        <w:rPr/>
        <w:t>payments</w:t>
      </w:r>
      <w:r>
        <w:rPr>
          <w:spacing w:val="-7"/>
        </w:rPr>
        <w:t> </w:t>
      </w:r>
      <w:r>
        <w:rPr/>
        <w:t>which</w:t>
      </w:r>
      <w:r>
        <w:rPr>
          <w:spacing w:val="-8"/>
        </w:rPr>
        <w:t> </w:t>
      </w:r>
      <w:r>
        <w:rPr/>
        <w:t>are</w:t>
      </w:r>
      <w:r>
        <w:rPr>
          <w:spacing w:val="-7"/>
        </w:rPr>
        <w:t> </w:t>
      </w:r>
      <w:r>
        <w:rPr/>
        <w:t>planned</w:t>
      </w:r>
    </w:p>
    <w:p>
      <w:pPr>
        <w:pStyle w:val="BodyText"/>
        <w:spacing w:line="237" w:lineRule="auto" w:before="212"/>
        <w:ind w:left="110" w:right="118"/>
        <w:jc w:val="both"/>
      </w:pPr>
      <w:r>
        <w:rPr/>
        <w:t>The amount you pay for Service Charges can go up. It will be affected by necessary maintenance of the</w:t>
      </w:r>
      <w:r>
        <w:rPr>
          <w:spacing w:val="1"/>
        </w:rPr>
        <w:t> </w:t>
      </w:r>
      <w:r>
        <w:rPr/>
        <w:t>building or common (shared) parts. If any of these type of costs are already anticipated they are revealed</w:t>
      </w:r>
      <w:r>
        <w:rPr>
          <w:spacing w:val="1"/>
        </w:rPr>
        <w:t> </w:t>
      </w:r>
      <w:r>
        <w:rPr/>
        <w:t>below:</w:t>
      </w:r>
    </w:p>
    <w:p>
      <w:pPr>
        <w:pStyle w:val="BodyText"/>
        <w:spacing w:before="8"/>
        <w:rPr>
          <w:sz w:val="17"/>
        </w:rPr>
      </w:pPr>
    </w:p>
    <w:p>
      <w:pPr>
        <w:pStyle w:val="BodyText"/>
        <w:tabs>
          <w:tab w:pos="6515" w:val="left" w:leader="none"/>
        </w:tabs>
        <w:spacing w:line="376" w:lineRule="auto"/>
        <w:ind w:left="110" w:right="2944"/>
        <w:jc w:val="both"/>
        <w:rPr>
          <w:sz w:val="22"/>
        </w:rPr>
      </w:pPr>
      <w:r>
        <w:rPr/>
        <w:t>Excess</w:t>
      </w:r>
      <w:r>
        <w:rPr>
          <w:spacing w:val="-4"/>
        </w:rPr>
        <w:t> </w:t>
      </w:r>
      <w:r>
        <w:rPr/>
        <w:t>service</w:t>
      </w:r>
      <w:r>
        <w:rPr>
          <w:spacing w:val="-4"/>
        </w:rPr>
        <w:t> </w:t>
      </w:r>
      <w:r>
        <w:rPr/>
        <w:t>charges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end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financial</w:t>
      </w:r>
      <w:r>
        <w:rPr>
          <w:spacing w:val="-5"/>
        </w:rPr>
        <w:t> </w:t>
      </w:r>
      <w:r>
        <w:rPr/>
        <w:t>year</w:t>
      </w:r>
      <w:r>
        <w:rPr>
          <w:spacing w:val="-3"/>
        </w:rPr>
        <w:t> </w:t>
      </w:r>
      <w:r>
        <w:rPr/>
        <w:t>(Section</w:t>
      </w:r>
      <w:r>
        <w:rPr>
          <w:spacing w:val="-4"/>
        </w:rPr>
        <w:t> </w:t>
      </w:r>
      <w:r>
        <w:rPr/>
        <w:t>4.3):</w:t>
      </w:r>
      <w:r>
        <w:rPr>
          <w:spacing w:val="1"/>
        </w:rPr>
        <w:t> </w:t>
      </w:r>
      <w:r>
        <w:rPr>
          <w:sz w:val="22"/>
        </w:rPr>
        <w:t>£</w:t>
      </w:r>
      <w:r>
        <w:rPr>
          <w:spacing w:val="-59"/>
          <w:sz w:val="22"/>
        </w:rPr>
        <w:t> </w:t>
      </w:r>
      <w:r>
        <w:rPr/>
        <w:t>Planned</w:t>
      </w:r>
      <w:r>
        <w:rPr>
          <w:spacing w:val="-10"/>
        </w:rPr>
        <w:t> </w:t>
      </w:r>
      <w:r>
        <w:rPr/>
        <w:t>additional</w:t>
      </w:r>
      <w:r>
        <w:rPr>
          <w:spacing w:val="-10"/>
        </w:rPr>
        <w:t> </w:t>
      </w:r>
      <w:r>
        <w:rPr/>
        <w:t>maintenance</w:t>
      </w:r>
      <w:r>
        <w:rPr>
          <w:spacing w:val="-10"/>
        </w:rPr>
        <w:t> </w:t>
      </w:r>
      <w:r>
        <w:rPr/>
        <w:t>contributions</w:t>
      </w:r>
      <w:r>
        <w:rPr>
          <w:spacing w:val="-8"/>
        </w:rPr>
        <w:t> </w:t>
      </w:r>
      <w:r>
        <w:rPr/>
        <w:t>(Section</w:t>
      </w:r>
      <w:r>
        <w:rPr>
          <w:spacing w:val="-10"/>
        </w:rPr>
        <w:t> </w:t>
      </w:r>
      <w:r>
        <w:rPr/>
        <w:t>4.8):</w:t>
        <w:tab/>
      </w:r>
      <w:r>
        <w:rPr>
          <w:sz w:val="22"/>
        </w:rPr>
        <w:t>£</w:t>
      </w:r>
      <w:r>
        <w:rPr>
          <w:spacing w:val="-59"/>
          <w:sz w:val="22"/>
        </w:rPr>
        <w:t> </w:t>
      </w:r>
      <w:r>
        <w:rPr/>
        <w:t>Planned</w:t>
      </w:r>
      <w:r>
        <w:rPr>
          <w:spacing w:val="-7"/>
        </w:rPr>
        <w:t> </w:t>
      </w:r>
      <w:r>
        <w:rPr/>
        <w:t>increase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Service</w:t>
      </w:r>
      <w:r>
        <w:rPr>
          <w:spacing w:val="-6"/>
        </w:rPr>
        <w:t> </w:t>
      </w:r>
      <w:r>
        <w:rPr/>
        <w:t>Charge</w:t>
      </w:r>
      <w:r>
        <w:rPr>
          <w:spacing w:val="-7"/>
        </w:rPr>
        <w:t> </w:t>
      </w:r>
      <w:r>
        <w:rPr/>
        <w:t>(Section</w:t>
      </w:r>
      <w:r>
        <w:rPr>
          <w:spacing w:val="-6"/>
        </w:rPr>
        <w:t> </w:t>
      </w:r>
      <w:r>
        <w:rPr/>
        <w:t>4.9):</w:t>
        <w:tab/>
      </w:r>
      <w:r>
        <w:rPr>
          <w:sz w:val="22"/>
        </w:rPr>
        <w:t>£</w:t>
      </w:r>
      <w:r>
        <w:rPr>
          <w:spacing w:val="-58"/>
          <w:sz w:val="22"/>
        </w:rPr>
        <w:t> </w:t>
      </w:r>
      <w:r>
        <w:rPr/>
        <w:t>Future</w:t>
      </w:r>
      <w:r>
        <w:rPr>
          <w:spacing w:val="-5"/>
        </w:rPr>
        <w:t> </w:t>
      </w:r>
      <w:r>
        <w:rPr/>
        <w:t>fees</w:t>
      </w:r>
      <w:r>
        <w:rPr>
          <w:spacing w:val="-4"/>
        </w:rPr>
        <w:t> </w:t>
      </w:r>
      <w:r>
        <w:rPr/>
        <w:t>payable</w:t>
      </w:r>
      <w:r>
        <w:rPr>
          <w:spacing w:val="-5"/>
        </w:rPr>
        <w:t> </w:t>
      </w:r>
      <w:r>
        <w:rPr/>
        <w:t>by</w:t>
      </w:r>
      <w:r>
        <w:rPr>
          <w:spacing w:val="-11"/>
        </w:rPr>
        <w:t> </w:t>
      </w:r>
      <w:r>
        <w:rPr/>
        <w:t>you</w:t>
      </w:r>
      <w:r>
        <w:rPr>
          <w:spacing w:val="-5"/>
        </w:rPr>
        <w:t> </w:t>
      </w:r>
      <w:r>
        <w:rPr/>
        <w:t>when</w:t>
      </w:r>
      <w:r>
        <w:rPr>
          <w:spacing w:val="-4"/>
        </w:rPr>
        <w:t> </w:t>
      </w:r>
      <w:r>
        <w:rPr/>
        <w:t>you</w:t>
      </w:r>
      <w:r>
        <w:rPr>
          <w:spacing w:val="-5"/>
        </w:rPr>
        <w:t> </w:t>
      </w:r>
      <w:r>
        <w:rPr/>
        <w:t>sell</w:t>
      </w:r>
      <w:r>
        <w:rPr>
          <w:spacing w:val="-6"/>
        </w:rPr>
        <w:t> </w:t>
      </w:r>
      <w:r>
        <w:rPr/>
        <w:t>or</w:t>
      </w:r>
      <w:r>
        <w:rPr>
          <w:spacing w:val="-4"/>
        </w:rPr>
        <w:t> </w:t>
      </w:r>
      <w:r>
        <w:rPr/>
        <w:t>sublet</w:t>
      </w:r>
      <w:r>
        <w:rPr>
          <w:spacing w:val="-5"/>
        </w:rPr>
        <w:t> </w:t>
      </w:r>
      <w:r>
        <w:rPr/>
        <w:t>(Section</w:t>
      </w:r>
      <w:r>
        <w:rPr>
          <w:spacing w:val="-5"/>
        </w:rPr>
        <w:t> </w:t>
      </w:r>
      <w:r>
        <w:rPr/>
        <w:t>4.12.1):</w:t>
      </w:r>
      <w:r>
        <w:rPr>
          <w:spacing w:val="20"/>
        </w:rPr>
        <w:t> </w:t>
      </w:r>
      <w:r>
        <w:rPr>
          <w:sz w:val="22"/>
        </w:rPr>
        <w:t>£</w:t>
      </w:r>
    </w:p>
    <w:p>
      <w:pPr>
        <w:spacing w:line="234" w:lineRule="exact" w:before="98"/>
        <w:ind w:left="110" w:right="0" w:firstLine="0"/>
        <w:jc w:val="both"/>
        <w:rPr>
          <w:b/>
          <w:sz w:val="20"/>
        </w:rPr>
      </w:pPr>
      <w:r>
        <w:rPr>
          <w:b/>
          <w:spacing w:val="-1"/>
          <w:sz w:val="20"/>
        </w:rPr>
        <w:t>Leaseholder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Information</w:t>
      </w:r>
    </w:p>
    <w:p>
      <w:pPr>
        <w:pStyle w:val="BodyText"/>
        <w:spacing w:line="237" w:lineRule="auto"/>
        <w:ind w:left="110" w:right="116"/>
        <w:jc w:val="both"/>
      </w:pPr>
      <w:r>
        <w:rPr/>
        <w:t>More</w:t>
      </w:r>
      <w:r>
        <w:rPr>
          <w:spacing w:val="9"/>
        </w:rPr>
        <w:t> </w:t>
      </w:r>
      <w:r>
        <w:rPr/>
        <w:t>information</w:t>
      </w:r>
      <w:r>
        <w:rPr>
          <w:spacing w:val="6"/>
        </w:rPr>
        <w:t> </w:t>
      </w:r>
      <w:r>
        <w:rPr/>
        <w:t>on</w:t>
      </w:r>
      <w:r>
        <w:rPr>
          <w:spacing w:val="10"/>
        </w:rPr>
        <w:t> </w:t>
      </w:r>
      <w:r>
        <w:rPr/>
        <w:t>your</w:t>
      </w:r>
      <w:r>
        <w:rPr>
          <w:spacing w:val="10"/>
        </w:rPr>
        <w:t> </w:t>
      </w:r>
      <w:r>
        <w:rPr/>
        <w:t>responsibilities</w:t>
      </w:r>
      <w:r>
        <w:rPr>
          <w:spacing w:val="8"/>
        </w:rPr>
        <w:t> </w:t>
      </w:r>
      <w:r>
        <w:rPr/>
        <w:t>as</w:t>
      </w:r>
      <w:r>
        <w:rPr>
          <w:spacing w:val="10"/>
        </w:rPr>
        <w:t> </w:t>
      </w:r>
      <w:r>
        <w:rPr/>
        <w:t>a</w:t>
      </w:r>
      <w:r>
        <w:rPr>
          <w:spacing w:val="10"/>
        </w:rPr>
        <w:t> </w:t>
      </w:r>
      <w:r>
        <w:rPr/>
        <w:t>Leaseholder</w:t>
      </w:r>
      <w:r>
        <w:rPr>
          <w:spacing w:val="10"/>
        </w:rPr>
        <w:t> </w:t>
      </w:r>
      <w:r>
        <w:rPr/>
        <w:t>has</w:t>
      </w:r>
      <w:r>
        <w:rPr>
          <w:spacing w:val="8"/>
        </w:rPr>
        <w:t> </w:t>
      </w:r>
      <w:r>
        <w:rPr/>
        <w:t>been</w:t>
      </w:r>
      <w:r>
        <w:rPr>
          <w:spacing w:val="9"/>
        </w:rPr>
        <w:t> </w:t>
      </w:r>
      <w:r>
        <w:rPr/>
        <w:t>produced</w:t>
      </w:r>
      <w:r>
        <w:rPr>
          <w:spacing w:val="10"/>
        </w:rPr>
        <w:t> </w:t>
      </w:r>
      <w:r>
        <w:rPr/>
        <w:t>jointly</w:t>
      </w:r>
      <w:r>
        <w:rPr>
          <w:spacing w:val="2"/>
        </w:rPr>
        <w:t> </w:t>
      </w:r>
      <w:r>
        <w:rPr/>
        <w:t>by</w:t>
      </w:r>
      <w:r>
        <w:rPr>
          <w:spacing w:val="4"/>
        </w:rPr>
        <w:t> </w:t>
      </w:r>
      <w:r>
        <w:rPr/>
        <w:t>the</w:t>
      </w:r>
      <w:r>
        <w:rPr>
          <w:spacing w:val="9"/>
        </w:rPr>
        <w:t> </w:t>
      </w:r>
      <w:r>
        <w:rPr/>
        <w:t>Association</w:t>
      </w:r>
      <w:r>
        <w:rPr>
          <w:spacing w:val="-53"/>
        </w:rPr>
        <w:t> </w:t>
      </w:r>
      <w:r>
        <w:rPr/>
        <w:t>of Residential Managing Agents (ARMA), the Association of Retirement Housing Managers (ARHM), and</w:t>
      </w:r>
      <w:r>
        <w:rPr>
          <w:spacing w:val="1"/>
        </w:rPr>
        <w:t> </w:t>
      </w:r>
      <w:r>
        <w:rPr>
          <w:spacing w:val="-2"/>
        </w:rPr>
        <w:t>the</w:t>
      </w:r>
      <w:r>
        <w:rPr>
          <w:spacing w:val="-13"/>
        </w:rPr>
        <w:t> </w:t>
      </w:r>
      <w:r>
        <w:rPr>
          <w:spacing w:val="-2"/>
        </w:rPr>
        <w:t>Leasehold</w:t>
      </w:r>
      <w:r>
        <w:rPr>
          <w:spacing w:val="-13"/>
        </w:rPr>
        <w:t> </w:t>
      </w:r>
      <w:r>
        <w:rPr>
          <w:spacing w:val="-1"/>
        </w:rPr>
        <w:t>Advisory</w:t>
      </w:r>
      <w:r>
        <w:rPr>
          <w:spacing w:val="-19"/>
        </w:rPr>
        <w:t> </w:t>
      </w:r>
      <w:r>
        <w:rPr>
          <w:spacing w:val="-1"/>
        </w:rPr>
        <w:t>Service</w:t>
      </w:r>
      <w:r>
        <w:rPr>
          <w:spacing w:val="-13"/>
        </w:rPr>
        <w:t> </w:t>
      </w:r>
      <w:r>
        <w:rPr>
          <w:spacing w:val="-1"/>
        </w:rPr>
        <w:t>(LEASE)</w:t>
      </w:r>
      <w:r>
        <w:rPr>
          <w:spacing w:val="-13"/>
        </w:rPr>
        <w:t> </w:t>
      </w:r>
      <w:r>
        <w:rPr>
          <w:spacing w:val="-1"/>
        </w:rPr>
        <w:t>and</w:t>
      </w:r>
      <w:r>
        <w:rPr>
          <w:spacing w:val="-13"/>
        </w:rPr>
        <w:t> </w:t>
      </w:r>
      <w:r>
        <w:rPr>
          <w:spacing w:val="-1"/>
        </w:rPr>
        <w:t>can</w:t>
      </w:r>
      <w:r>
        <w:rPr>
          <w:spacing w:val="-13"/>
        </w:rPr>
        <w:t> </w:t>
      </w:r>
      <w:r>
        <w:rPr>
          <w:spacing w:val="-1"/>
        </w:rPr>
        <w:t>be</w:t>
      </w:r>
      <w:r>
        <w:rPr>
          <w:spacing w:val="-13"/>
        </w:rPr>
        <w:t> </w:t>
      </w:r>
      <w:r>
        <w:rPr>
          <w:spacing w:val="-1"/>
        </w:rPr>
        <w:t>found</w:t>
      </w:r>
      <w:r>
        <w:rPr>
          <w:spacing w:val="-13"/>
        </w:rPr>
        <w:t> </w:t>
      </w:r>
      <w:r>
        <w:rPr>
          <w:spacing w:val="-1"/>
        </w:rPr>
        <w:t>at</w:t>
      </w:r>
      <w:r>
        <w:rPr>
          <w:spacing w:val="-12"/>
        </w:rPr>
        <w:t> </w:t>
      </w:r>
      <w:hyperlink r:id="rId5">
        <w:r>
          <w:rPr>
            <w:spacing w:val="-1"/>
          </w:rPr>
          <w:t>www.lease-advice.org.</w:t>
        </w:r>
        <w:r>
          <w:rPr>
            <w:spacing w:val="-13"/>
          </w:rPr>
          <w:t> </w:t>
        </w:r>
      </w:hyperlink>
      <w:r>
        <w:rPr>
          <w:spacing w:val="-1"/>
        </w:rPr>
        <w:t>The</w:t>
      </w:r>
      <w:r>
        <w:rPr>
          <w:spacing w:val="-13"/>
        </w:rPr>
        <w:t> </w:t>
      </w:r>
      <w:r>
        <w:rPr>
          <w:spacing w:val="-1"/>
        </w:rPr>
        <w:t>guide</w:t>
      </w:r>
      <w:r>
        <w:rPr>
          <w:spacing w:val="-16"/>
        </w:rPr>
        <w:t> </w:t>
      </w:r>
      <w:r>
        <w:rPr>
          <w:spacing w:val="-1"/>
        </w:rPr>
        <w:t>aims</w:t>
      </w:r>
      <w:r>
        <w:rPr>
          <w:spacing w:val="-12"/>
        </w:rPr>
        <w:t> </w:t>
      </w:r>
      <w:r>
        <w:rPr>
          <w:spacing w:val="-1"/>
        </w:rPr>
        <w:t>to</w:t>
      </w:r>
      <w:r>
        <w:rPr>
          <w:spacing w:val="-12"/>
        </w:rPr>
        <w:t> </w:t>
      </w:r>
      <w:r>
        <w:rPr>
          <w:spacing w:val="-1"/>
        </w:rPr>
        <w:t>help</w:t>
      </w:r>
      <w:r>
        <w:rPr/>
        <w:t> you to understand residential leasehold and your rights and responsibilities produced in an easy guide for</w:t>
      </w:r>
      <w:r>
        <w:rPr>
          <w:spacing w:val="1"/>
        </w:rPr>
        <w:t> </w:t>
      </w:r>
      <w:r>
        <w:rPr/>
        <w:t>you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download.</w:t>
      </w:r>
    </w:p>
    <w:p>
      <w:pPr>
        <w:pStyle w:val="BodyText"/>
        <w:spacing w:before="5"/>
        <w:rPr>
          <w:sz w:val="18"/>
        </w:rPr>
      </w:pPr>
      <w:r>
        <w:rPr/>
        <w:pict>
          <v:shape style="position:absolute;margin-left:59.52pt;margin-top:11.806602pt;width:467.8pt;height:.1pt;mso-position-horizontal-relative:page;mso-position-vertical-relative:paragraph;z-index:-15728640;mso-wrap-distance-left:0;mso-wrap-distance-right:0" id="docshape2" coordorigin="1190,236" coordsize="9356,0" path="m1190,236l10546,236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tabs>
          <w:tab w:pos="7634" w:val="left" w:leader="none"/>
        </w:tabs>
        <w:spacing w:before="35"/>
        <w:ind w:left="5563" w:right="0" w:firstLine="0"/>
        <w:jc w:val="left"/>
        <w:rPr>
          <w:sz w:val="20"/>
        </w:rPr>
      </w:pPr>
      <w:r>
        <w:rPr>
          <w:sz w:val="14"/>
        </w:rPr>
        <w:t>Laserform</w:t>
      </w:r>
      <w:r>
        <w:rPr>
          <w:spacing w:val="-7"/>
          <w:sz w:val="14"/>
        </w:rPr>
        <w:t> </w:t>
      </w:r>
      <w:r>
        <w:rPr>
          <w:sz w:val="14"/>
        </w:rPr>
        <w:t>International</w:t>
      </w:r>
      <w:r>
        <w:rPr>
          <w:spacing w:val="-7"/>
          <w:sz w:val="14"/>
        </w:rPr>
        <w:t> </w:t>
      </w:r>
      <w:r>
        <w:rPr>
          <w:sz w:val="14"/>
        </w:rPr>
        <w:t>10/21</w:t>
        <w:tab/>
      </w:r>
      <w:r>
        <w:rPr>
          <w:sz w:val="20"/>
        </w:rPr>
        <w:t>Second</w:t>
      </w:r>
      <w:r>
        <w:rPr>
          <w:spacing w:val="-9"/>
          <w:sz w:val="20"/>
        </w:rPr>
        <w:t> </w:t>
      </w:r>
      <w:r>
        <w:rPr>
          <w:sz w:val="20"/>
        </w:rPr>
        <w:t>Edition</w:t>
      </w:r>
      <w:r>
        <w:rPr>
          <w:spacing w:val="-8"/>
          <w:sz w:val="20"/>
        </w:rPr>
        <w:t> </w:t>
      </w:r>
      <w:r>
        <w:rPr>
          <w:sz w:val="20"/>
        </w:rPr>
        <w:t>2021</w:t>
      </w:r>
    </w:p>
    <w:sectPr>
      <w:type w:val="continuous"/>
      <w:pgSz w:w="11910" w:h="16840"/>
      <w:pgMar w:top="900" w:bottom="280" w:left="1080" w:right="1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Helvetica">
    <w:altName w:val="Helvetica"/>
    <w:charset w:val="0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Letter"/>
      <w:lvlText w:val="%1."/>
      <w:lvlJc w:val="left"/>
      <w:pPr>
        <w:ind w:left="110" w:hanging="300"/>
        <w:jc w:val="left"/>
      </w:pPr>
      <w:rPr>
        <w:rFonts w:hint="default" w:ascii="Helvetica" w:hAnsi="Helvetica" w:eastAsia="Helvetica" w:cs="Helvetica"/>
        <w:b/>
        <w:bCs/>
        <w:i w:val="0"/>
        <w:iCs w:val="0"/>
        <w:spacing w:val="-8"/>
        <w:w w:val="99"/>
        <w:sz w:val="24"/>
        <w:szCs w:val="24"/>
      </w:rPr>
    </w:lvl>
    <w:lvl w:ilvl="1">
      <w:start w:val="0"/>
      <w:numFmt w:val="bullet"/>
      <w:lvlText w:val="•"/>
      <w:lvlJc w:val="left"/>
      <w:pPr>
        <w:ind w:left="1066" w:hanging="3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12" w:hanging="3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59" w:hanging="3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5" w:hanging="3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52" w:hanging="3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98" w:hanging="3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45" w:hanging="3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91" w:hanging="3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Helvetica" w:hAnsi="Helvetica" w:eastAsia="Helvetica" w:cs="Helvetica"/>
    </w:rPr>
  </w:style>
  <w:style w:styleId="BodyText" w:type="paragraph">
    <w:name w:val="Body Text"/>
    <w:basedOn w:val="Normal"/>
    <w:uiPriority w:val="1"/>
    <w:qFormat/>
    <w:pPr/>
    <w:rPr>
      <w:rFonts w:ascii="Helvetica" w:hAnsi="Helvetica" w:eastAsia="Helvetica" w:cs="Helvetica"/>
      <w:sz w:val="20"/>
      <w:szCs w:val="20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Helvetica" w:hAnsi="Helvetica" w:eastAsia="Helvetica" w:cs="Helvetica"/>
      <w:b/>
      <w:bCs/>
      <w:sz w:val="28"/>
      <w:szCs w:val="28"/>
    </w:rPr>
  </w:style>
  <w:style w:styleId="Heading2" w:type="paragraph">
    <w:name w:val="Heading 2"/>
    <w:basedOn w:val="Normal"/>
    <w:uiPriority w:val="1"/>
    <w:qFormat/>
    <w:pPr>
      <w:ind w:left="417" w:hanging="308"/>
      <w:outlineLvl w:val="2"/>
    </w:pPr>
    <w:rPr>
      <w:rFonts w:ascii="Helvetica" w:hAnsi="Helvetica" w:eastAsia="Helvetica" w:cs="Helvetica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>
      <w:ind w:left="417" w:hanging="308"/>
    </w:pPr>
    <w:rPr>
      <w:rFonts w:ascii="Helvetica" w:hAnsi="Helvetica" w:eastAsia="Helvetica" w:cs="Helvetica"/>
    </w:rPr>
  </w:style>
  <w:style w:styleId="TableParagraph" w:type="paragraph">
    <w:name w:val="Table Paragraph"/>
    <w:basedOn w:val="Normal"/>
    <w:uiPriority w:val="1"/>
    <w:qFormat/>
    <w:pPr/>
    <w:rPr>
      <w:rFonts w:ascii="Helvetica" w:hAnsi="Helvetica" w:eastAsia="Helvetica" w:cs="Helvetic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lease-advice.org/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natalie.forbes</dc:creator>
  <dc:title>LForm - LPE2</dc:title>
  <dcterms:created xsi:type="dcterms:W3CDTF">2021-11-24T17:11:51Z</dcterms:created>
  <dcterms:modified xsi:type="dcterms:W3CDTF">2021-11-24T17:11:51Z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2021-11-24T00:00:00Z</vt:filetime>
  </property>
</Properties>
</file>